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237"/>
      </w:tblGrid>
      <w:tr w:rsidR="003549BB" w:rsidRPr="003549BB" w14:paraId="29D4B898" w14:textId="77777777" w:rsidTr="009C32ED">
        <w:trPr>
          <w:trHeight w:val="568"/>
        </w:trPr>
        <w:tc>
          <w:tcPr>
            <w:tcW w:w="3261" w:type="dxa"/>
          </w:tcPr>
          <w:p w14:paraId="5E3D8D7D" w14:textId="77777777" w:rsidR="003549BB" w:rsidRPr="003549BB" w:rsidRDefault="003549BB" w:rsidP="00291B0D">
            <w:pPr>
              <w:tabs>
                <w:tab w:val="left" w:pos="426"/>
              </w:tabs>
              <w:jc w:val="center"/>
              <w:outlineLv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37" w:type="dxa"/>
          </w:tcPr>
          <w:p w14:paraId="7A69D6F0" w14:textId="77777777" w:rsidR="003549BB" w:rsidRPr="003549BB" w:rsidRDefault="003549BB" w:rsidP="00291B0D">
            <w:pPr>
              <w:tabs>
                <w:tab w:val="left" w:pos="426"/>
              </w:tabs>
              <w:outlineLvl w:val="0"/>
              <w:rPr>
                <w:rFonts w:ascii="Times New Roman" w:hAnsi="Times New Roman" w:cs="Times New Roman"/>
              </w:rPr>
            </w:pPr>
            <w:r w:rsidRPr="003549BB">
              <w:rPr>
                <w:rFonts w:ascii="Times New Roman" w:hAnsi="Times New Roman" w:cs="Times New Roman"/>
              </w:rPr>
              <w:t>Приложение № 1</w:t>
            </w:r>
          </w:p>
          <w:p w14:paraId="4967AFEB" w14:textId="6E50790A" w:rsidR="003549BB" w:rsidRPr="009C32ED" w:rsidRDefault="003549BB" w:rsidP="003D3456">
            <w:pPr>
              <w:tabs>
                <w:tab w:val="left" w:pos="426"/>
              </w:tabs>
              <w:outlineLvl w:val="0"/>
              <w:rPr>
                <w:rFonts w:ascii="Times New Roman" w:hAnsi="Times New Roman" w:cs="Times New Roman"/>
                <w:b/>
              </w:rPr>
            </w:pPr>
            <w:r w:rsidRPr="003549BB">
              <w:rPr>
                <w:rFonts w:ascii="Times New Roman" w:hAnsi="Times New Roman" w:cs="Times New Roman"/>
              </w:rPr>
              <w:t>к договор</w:t>
            </w:r>
            <w:r w:rsidR="00FC687E">
              <w:rPr>
                <w:rFonts w:ascii="Times New Roman" w:hAnsi="Times New Roman" w:cs="Times New Roman"/>
              </w:rPr>
              <w:t>у на оказание услуг по оценке №</w:t>
            </w:r>
            <w:r w:rsidR="009C32ED">
              <w:rPr>
                <w:rFonts w:ascii="Times New Roman" w:hAnsi="Times New Roman" w:cs="Times New Roman"/>
                <w:color w:val="0070C0"/>
              </w:rPr>
              <w:t>____ от «___»_______20</w:t>
            </w:r>
            <w:r w:rsidR="003D3456">
              <w:rPr>
                <w:rFonts w:ascii="Times New Roman" w:hAnsi="Times New Roman" w:cs="Times New Roman"/>
                <w:color w:val="0070C0"/>
              </w:rPr>
              <w:t>22</w:t>
            </w:r>
          </w:p>
        </w:tc>
      </w:tr>
    </w:tbl>
    <w:p w14:paraId="60BA5A1C" w14:textId="77777777" w:rsidR="003549BB" w:rsidRPr="003549BB" w:rsidRDefault="003549BB" w:rsidP="00291B0D">
      <w:pPr>
        <w:tabs>
          <w:tab w:val="left" w:pos="426"/>
        </w:tabs>
        <w:jc w:val="center"/>
        <w:outlineLvl w:val="0"/>
        <w:rPr>
          <w:rFonts w:ascii="Times New Roman" w:hAnsi="Times New Roman" w:cs="Times New Roman"/>
          <w:b/>
        </w:rPr>
      </w:pPr>
    </w:p>
    <w:p w14:paraId="681FDB88" w14:textId="77777777" w:rsidR="008E5F94" w:rsidRPr="003549BB" w:rsidRDefault="00D11139" w:rsidP="00291B0D">
      <w:pPr>
        <w:tabs>
          <w:tab w:val="left" w:pos="426"/>
        </w:tabs>
        <w:jc w:val="center"/>
        <w:outlineLvl w:val="0"/>
        <w:rPr>
          <w:rFonts w:ascii="Times New Roman" w:hAnsi="Times New Roman" w:cs="Times New Roman"/>
          <w:b/>
        </w:rPr>
      </w:pPr>
      <w:r w:rsidRPr="003549BB">
        <w:rPr>
          <w:rFonts w:ascii="Times New Roman" w:hAnsi="Times New Roman" w:cs="Times New Roman"/>
          <w:b/>
        </w:rPr>
        <w:t>Техническое задание</w:t>
      </w:r>
      <w:r w:rsidR="003549BB">
        <w:rPr>
          <w:rFonts w:ascii="Times New Roman" w:hAnsi="Times New Roman" w:cs="Times New Roman"/>
          <w:b/>
        </w:rPr>
        <w:t xml:space="preserve"> на оценку</w:t>
      </w:r>
    </w:p>
    <w:p w14:paraId="2935D7CF" w14:textId="26E68A15" w:rsidR="008E5F94" w:rsidRPr="003549BB" w:rsidRDefault="008E5F94" w:rsidP="003549BB">
      <w:pPr>
        <w:tabs>
          <w:tab w:val="left" w:pos="426"/>
        </w:tabs>
        <w:spacing w:before="100" w:after="100"/>
        <w:jc w:val="both"/>
        <w:rPr>
          <w:rFonts w:ascii="Times New Roman" w:hAnsi="Times New Roman" w:cs="Times New Roman"/>
          <w:b/>
        </w:rPr>
      </w:pPr>
      <w:r w:rsidRPr="003549BB">
        <w:rPr>
          <w:rFonts w:ascii="Times New Roman" w:hAnsi="Times New Roman" w:cs="Times New Roman"/>
          <w:b/>
        </w:rPr>
        <w:t xml:space="preserve">Заказчик: </w:t>
      </w:r>
      <w:r w:rsidR="007645CA">
        <w:rPr>
          <w:rFonts w:ascii="Times New Roman" w:hAnsi="Times New Roman" w:cs="Times New Roman"/>
          <w:b/>
        </w:rPr>
        <w:t>АО</w:t>
      </w:r>
      <w:r w:rsidR="00782CE0" w:rsidRPr="00782CE0">
        <w:rPr>
          <w:rFonts w:ascii="Times New Roman" w:hAnsi="Times New Roman" w:cs="Times New Roman"/>
          <w:b/>
        </w:rPr>
        <w:t xml:space="preserve"> "</w:t>
      </w:r>
      <w:r w:rsidR="007645CA">
        <w:rPr>
          <w:rFonts w:ascii="Times New Roman" w:hAnsi="Times New Roman" w:cs="Times New Roman"/>
          <w:b/>
        </w:rPr>
        <w:t>Иркутскэнерго</w:t>
      </w:r>
      <w:r w:rsidR="00782CE0" w:rsidRPr="00782CE0">
        <w:rPr>
          <w:rFonts w:ascii="Times New Roman" w:hAnsi="Times New Roman" w:cs="Times New Roman"/>
          <w:b/>
        </w:rPr>
        <w:t>"</w:t>
      </w:r>
    </w:p>
    <w:p w14:paraId="7B35ABBC" w14:textId="77777777" w:rsidR="00FC687E" w:rsidRDefault="008E5F94" w:rsidP="003549BB">
      <w:pPr>
        <w:tabs>
          <w:tab w:val="left" w:pos="426"/>
        </w:tabs>
        <w:spacing w:before="100" w:after="100"/>
        <w:jc w:val="both"/>
        <w:rPr>
          <w:rFonts w:ascii="Times New Roman" w:hAnsi="Times New Roman" w:cs="Times New Roman"/>
          <w:b/>
        </w:rPr>
      </w:pPr>
      <w:r w:rsidRPr="003549BB">
        <w:rPr>
          <w:rFonts w:ascii="Times New Roman" w:hAnsi="Times New Roman" w:cs="Times New Roman"/>
          <w:b/>
        </w:rPr>
        <w:t>Объекты оценки:</w:t>
      </w:r>
      <w:r w:rsidR="00FC687E">
        <w:rPr>
          <w:rFonts w:ascii="Times New Roman" w:hAnsi="Times New Roman" w:cs="Times New Roman"/>
          <w:b/>
        </w:rPr>
        <w:t xml:space="preserve"> </w:t>
      </w:r>
    </w:p>
    <w:p w14:paraId="4387DDD0" w14:textId="350FB377" w:rsidR="00780529" w:rsidRDefault="007645CA" w:rsidP="00FC687E">
      <w:pPr>
        <w:tabs>
          <w:tab w:val="left" w:pos="426"/>
        </w:tabs>
        <w:jc w:val="both"/>
        <w:rPr>
          <w:rFonts w:ascii="Times New Roman" w:hAnsi="Times New Roman" w:cs="Times New Roman"/>
          <w:color w:val="0070C0"/>
        </w:rPr>
      </w:pPr>
      <w:r>
        <w:rPr>
          <w:rFonts w:ascii="Times New Roman" w:hAnsi="Times New Roman" w:cs="Times New Roman"/>
          <w:color w:val="0070C0"/>
        </w:rPr>
        <w:t>Общество с ограниченной ответственностью «Тувинская горнорудная компания» (ООО «ТГРК»)</w:t>
      </w:r>
    </w:p>
    <w:p w14:paraId="5C0217EF" w14:textId="5264E5FB" w:rsidR="00F66B90" w:rsidRDefault="00F66B90" w:rsidP="00F66B90">
      <w:pPr>
        <w:rPr>
          <w:rFonts w:ascii="Times New Roman" w:hAnsi="Times New Roman" w:cs="Times New Roman"/>
          <w:color w:val="0070C0"/>
        </w:rPr>
      </w:pPr>
      <w:r>
        <w:rPr>
          <w:rFonts w:ascii="Times New Roman" w:hAnsi="Times New Roman" w:cs="Times New Roman"/>
          <w:color w:val="0070C0"/>
        </w:rPr>
        <w:t>Дата регистрации 1</w:t>
      </w:r>
      <w:r w:rsidR="007645CA">
        <w:rPr>
          <w:rFonts w:ascii="Times New Roman" w:hAnsi="Times New Roman" w:cs="Times New Roman"/>
          <w:color w:val="0070C0"/>
        </w:rPr>
        <w:t>4</w:t>
      </w:r>
      <w:r>
        <w:rPr>
          <w:rFonts w:ascii="Times New Roman" w:hAnsi="Times New Roman" w:cs="Times New Roman"/>
          <w:color w:val="0070C0"/>
        </w:rPr>
        <w:t>.</w:t>
      </w:r>
      <w:r w:rsidR="007645CA">
        <w:rPr>
          <w:rFonts w:ascii="Times New Roman" w:hAnsi="Times New Roman" w:cs="Times New Roman"/>
          <w:color w:val="0070C0"/>
        </w:rPr>
        <w:t>11</w:t>
      </w:r>
      <w:r>
        <w:rPr>
          <w:rFonts w:ascii="Times New Roman" w:hAnsi="Times New Roman" w:cs="Times New Roman"/>
          <w:color w:val="0070C0"/>
        </w:rPr>
        <w:t xml:space="preserve">.2007, </w:t>
      </w:r>
      <w:r w:rsidR="007645CA">
        <w:rPr>
          <w:rFonts w:ascii="Times New Roman" w:hAnsi="Times New Roman" w:cs="Times New Roman"/>
          <w:color w:val="0070C0"/>
        </w:rPr>
        <w:t xml:space="preserve">ОГРН </w:t>
      </w:r>
      <w:r w:rsidR="003D3456">
        <w:rPr>
          <w:rFonts w:ascii="Times New Roman" w:hAnsi="Times New Roman" w:cs="Times New Roman"/>
          <w:color w:val="0070C0"/>
        </w:rPr>
        <w:t>1071701001570</w:t>
      </w:r>
    </w:p>
    <w:p w14:paraId="575D048A" w14:textId="7C939045" w:rsidR="00F66B90" w:rsidRDefault="003D3456" w:rsidP="00F66B90">
      <w:pPr>
        <w:rPr>
          <w:rFonts w:ascii="Times New Roman" w:hAnsi="Times New Roman" w:cs="Times New Roman"/>
          <w:color w:val="0070C0"/>
        </w:rPr>
      </w:pPr>
      <w:r>
        <w:rPr>
          <w:rFonts w:ascii="Times New Roman" w:hAnsi="Times New Roman" w:cs="Times New Roman"/>
          <w:color w:val="0070C0"/>
        </w:rPr>
        <w:t xml:space="preserve">Адрес (место нахождения): 667901 Республика Тыва, р-н </w:t>
      </w:r>
      <w:proofErr w:type="spellStart"/>
      <w:r>
        <w:rPr>
          <w:rFonts w:ascii="Times New Roman" w:hAnsi="Times New Roman" w:cs="Times New Roman"/>
          <w:color w:val="0070C0"/>
        </w:rPr>
        <w:t>Кызыльский</w:t>
      </w:r>
      <w:proofErr w:type="spellEnd"/>
      <w:r>
        <w:rPr>
          <w:rFonts w:ascii="Times New Roman" w:hAnsi="Times New Roman" w:cs="Times New Roman"/>
          <w:color w:val="0070C0"/>
        </w:rPr>
        <w:t xml:space="preserve">, </w:t>
      </w:r>
      <w:proofErr w:type="spellStart"/>
      <w:r>
        <w:rPr>
          <w:rFonts w:ascii="Times New Roman" w:hAnsi="Times New Roman" w:cs="Times New Roman"/>
          <w:color w:val="0070C0"/>
        </w:rPr>
        <w:t>пгт</w:t>
      </w:r>
      <w:proofErr w:type="spellEnd"/>
      <w:r>
        <w:rPr>
          <w:rFonts w:ascii="Times New Roman" w:hAnsi="Times New Roman" w:cs="Times New Roman"/>
          <w:color w:val="0070C0"/>
        </w:rPr>
        <w:t xml:space="preserve"> </w:t>
      </w:r>
      <w:proofErr w:type="spellStart"/>
      <w:r>
        <w:rPr>
          <w:rFonts w:ascii="Times New Roman" w:hAnsi="Times New Roman" w:cs="Times New Roman"/>
          <w:color w:val="0070C0"/>
        </w:rPr>
        <w:t>Каа-Хем</w:t>
      </w:r>
      <w:proofErr w:type="spellEnd"/>
    </w:p>
    <w:p w14:paraId="30C24CFE" w14:textId="77777777" w:rsidR="00F66B90" w:rsidRDefault="00F66B90" w:rsidP="003549BB">
      <w:pPr>
        <w:tabs>
          <w:tab w:val="left" w:pos="426"/>
        </w:tabs>
        <w:spacing w:before="100" w:after="100"/>
        <w:jc w:val="both"/>
        <w:rPr>
          <w:rFonts w:ascii="Times New Roman" w:hAnsi="Times New Roman" w:cs="Times New Roman"/>
          <w:b/>
        </w:rPr>
      </w:pPr>
    </w:p>
    <w:p w14:paraId="7F2AB98C" w14:textId="2683FE5F" w:rsidR="008E5F94" w:rsidRPr="003549BB" w:rsidRDefault="008E5F94" w:rsidP="003549BB">
      <w:pPr>
        <w:tabs>
          <w:tab w:val="left" w:pos="426"/>
        </w:tabs>
        <w:spacing w:before="100" w:after="100"/>
        <w:jc w:val="both"/>
        <w:rPr>
          <w:rFonts w:ascii="Times New Roman" w:hAnsi="Times New Roman" w:cs="Times New Roman"/>
        </w:rPr>
      </w:pPr>
      <w:r w:rsidRPr="003549BB">
        <w:rPr>
          <w:rFonts w:ascii="Times New Roman" w:hAnsi="Times New Roman" w:cs="Times New Roman"/>
          <w:b/>
        </w:rPr>
        <w:t xml:space="preserve">Имущественные права на объект оценки: </w:t>
      </w:r>
      <w:r w:rsidRPr="003549BB">
        <w:rPr>
          <w:rFonts w:ascii="Times New Roman" w:hAnsi="Times New Roman" w:cs="Times New Roman"/>
        </w:rPr>
        <w:t>право собственности</w:t>
      </w:r>
      <w:r w:rsidR="00566D17">
        <w:rPr>
          <w:rFonts w:ascii="Times New Roman" w:hAnsi="Times New Roman" w:cs="Times New Roman"/>
        </w:rPr>
        <w:t>.</w:t>
      </w:r>
    </w:p>
    <w:p w14:paraId="251D1B89" w14:textId="77777777" w:rsidR="008E5F94" w:rsidRPr="003549BB" w:rsidRDefault="008E5F94" w:rsidP="003549BB">
      <w:pPr>
        <w:tabs>
          <w:tab w:val="left" w:pos="426"/>
        </w:tabs>
        <w:spacing w:before="100" w:after="100"/>
        <w:jc w:val="both"/>
        <w:rPr>
          <w:rFonts w:ascii="Times New Roman" w:hAnsi="Times New Roman" w:cs="Times New Roman"/>
          <w:b/>
        </w:rPr>
      </w:pPr>
      <w:r w:rsidRPr="003549BB">
        <w:rPr>
          <w:rFonts w:ascii="Times New Roman" w:hAnsi="Times New Roman" w:cs="Times New Roman"/>
          <w:b/>
        </w:rPr>
        <w:t xml:space="preserve">Цель оценки: </w:t>
      </w:r>
      <w:r w:rsidRPr="003549BB">
        <w:rPr>
          <w:rFonts w:ascii="Times New Roman" w:hAnsi="Times New Roman" w:cs="Times New Roman"/>
        </w:rPr>
        <w:t>определение рыночной стоимости объекта оценки.</w:t>
      </w:r>
    </w:p>
    <w:p w14:paraId="68B60AFE" w14:textId="77777777" w:rsidR="008E5F94" w:rsidRPr="003549BB" w:rsidRDefault="008E5F94" w:rsidP="003549BB">
      <w:pPr>
        <w:tabs>
          <w:tab w:val="left" w:pos="426"/>
        </w:tabs>
        <w:spacing w:before="100" w:after="100"/>
        <w:jc w:val="both"/>
        <w:rPr>
          <w:rFonts w:ascii="Times New Roman" w:hAnsi="Times New Roman" w:cs="Times New Roman"/>
        </w:rPr>
      </w:pPr>
      <w:r w:rsidRPr="003549BB">
        <w:rPr>
          <w:rFonts w:ascii="Times New Roman" w:hAnsi="Times New Roman" w:cs="Times New Roman"/>
          <w:b/>
        </w:rPr>
        <w:t xml:space="preserve">Вид стоимости: </w:t>
      </w:r>
      <w:r w:rsidRPr="003549BB">
        <w:rPr>
          <w:rFonts w:ascii="Times New Roman" w:hAnsi="Times New Roman" w:cs="Times New Roman"/>
        </w:rPr>
        <w:t>рыночная.</w:t>
      </w:r>
    </w:p>
    <w:p w14:paraId="12DBCE4B" w14:textId="361C9221" w:rsidR="00F8218A" w:rsidRPr="00F8218A" w:rsidRDefault="008E5F94" w:rsidP="00F8218A">
      <w:pPr>
        <w:jc w:val="both"/>
        <w:rPr>
          <w:rFonts w:ascii="Times New Roman" w:hAnsi="Times New Roman" w:cs="Times New Roman"/>
          <w:color w:val="0070C0"/>
        </w:rPr>
      </w:pPr>
      <w:r w:rsidRPr="003549BB">
        <w:rPr>
          <w:rFonts w:ascii="Times New Roman" w:hAnsi="Times New Roman" w:cs="Times New Roman"/>
          <w:b/>
        </w:rPr>
        <w:t>Предполагаемое использование результатов оценки и связанные с этим ограничения:</w:t>
      </w:r>
      <w:r w:rsidR="00806281" w:rsidRPr="003549BB">
        <w:rPr>
          <w:rFonts w:ascii="Times New Roman" w:hAnsi="Times New Roman" w:cs="Times New Roman"/>
          <w:b/>
        </w:rPr>
        <w:t xml:space="preserve"> </w:t>
      </w:r>
      <w:r w:rsidR="00F8218A" w:rsidRPr="00F8218A">
        <w:rPr>
          <w:rFonts w:ascii="Times New Roman" w:hAnsi="Times New Roman" w:cs="Times New Roman"/>
          <w:color w:val="0070C0"/>
        </w:rPr>
        <w:t>Для принятия управленческих решений, в том числе вклада в уставный капитал, отчуждения, приобретения</w:t>
      </w:r>
      <w:r w:rsidR="005F0019">
        <w:rPr>
          <w:rFonts w:ascii="Times New Roman" w:hAnsi="Times New Roman" w:cs="Times New Roman"/>
          <w:color w:val="0070C0"/>
        </w:rPr>
        <w:t xml:space="preserve">, </w:t>
      </w:r>
      <w:r w:rsidR="005F0019" w:rsidRPr="005F0019">
        <w:rPr>
          <w:rFonts w:ascii="Times New Roman" w:hAnsi="Times New Roman" w:cs="Times New Roman"/>
          <w:color w:val="0070C0"/>
        </w:rPr>
        <w:t>распределени</w:t>
      </w:r>
      <w:r w:rsidR="005F0019">
        <w:rPr>
          <w:rFonts w:ascii="Times New Roman" w:hAnsi="Times New Roman" w:cs="Times New Roman"/>
          <w:color w:val="0070C0"/>
        </w:rPr>
        <w:t>я</w:t>
      </w:r>
      <w:r w:rsidR="005F0019" w:rsidRPr="005F0019">
        <w:rPr>
          <w:rFonts w:ascii="Times New Roman" w:hAnsi="Times New Roman" w:cs="Times New Roman"/>
          <w:color w:val="0070C0"/>
        </w:rPr>
        <w:t xml:space="preserve"> имущества при ликвидации материнской(удерживающей) компании</w:t>
      </w:r>
    </w:p>
    <w:p w14:paraId="473A5265" w14:textId="77777777" w:rsidR="008E5F94" w:rsidRPr="003549BB" w:rsidRDefault="008E5F94" w:rsidP="003549BB">
      <w:pPr>
        <w:tabs>
          <w:tab w:val="left" w:pos="426"/>
        </w:tabs>
        <w:spacing w:before="100" w:after="100"/>
        <w:jc w:val="both"/>
        <w:rPr>
          <w:rFonts w:ascii="Times New Roman" w:hAnsi="Times New Roman" w:cs="Times New Roman"/>
          <w:b/>
        </w:rPr>
      </w:pPr>
      <w:r w:rsidRPr="003549BB">
        <w:rPr>
          <w:rFonts w:ascii="Times New Roman" w:hAnsi="Times New Roman" w:cs="Times New Roman"/>
          <w:b/>
        </w:rPr>
        <w:t>1. Термины и определения.</w:t>
      </w:r>
    </w:p>
    <w:p w14:paraId="2377B9F2" w14:textId="77777777" w:rsidR="008E5F94" w:rsidRPr="003549BB" w:rsidRDefault="008E5F94" w:rsidP="003549BB">
      <w:pPr>
        <w:tabs>
          <w:tab w:val="left" w:pos="426"/>
        </w:tabs>
        <w:spacing w:before="100" w:after="100"/>
        <w:jc w:val="both"/>
        <w:rPr>
          <w:rFonts w:ascii="Times New Roman" w:hAnsi="Times New Roman" w:cs="Times New Roman"/>
        </w:rPr>
      </w:pPr>
      <w:r w:rsidRPr="003549BB">
        <w:rPr>
          <w:rFonts w:ascii="Times New Roman" w:hAnsi="Times New Roman" w:cs="Times New Roman"/>
          <w:b/>
        </w:rPr>
        <w:t>Рыночная стоимость</w:t>
      </w:r>
      <w:r w:rsidRPr="003549BB">
        <w:rPr>
          <w:rFonts w:ascii="Times New Roman" w:hAnsi="Times New Roman" w:cs="Times New Roman"/>
        </w:rPr>
        <w:t xml:space="preserve"> - наиболее вероятная цена, по которой объект оценки может быть отчужден на дату оценки на открытом рынке в условиях конкуренции, когда стороны сделки действуют разумно, располагая всей необходимой информацией, а на величине цены сделки не отражаются какие-либо чрезвычайные обстоятельства, то есть когда:</w:t>
      </w:r>
    </w:p>
    <w:p w14:paraId="432536CE" w14:textId="77777777" w:rsidR="008E5F94" w:rsidRPr="003549BB" w:rsidRDefault="008E5F94" w:rsidP="003549BB">
      <w:pPr>
        <w:numPr>
          <w:ilvl w:val="0"/>
          <w:numId w:val="3"/>
        </w:numPr>
        <w:tabs>
          <w:tab w:val="left" w:pos="426"/>
          <w:tab w:val="left" w:pos="851"/>
        </w:tabs>
        <w:spacing w:before="100" w:after="100"/>
        <w:ind w:left="0" w:firstLine="0"/>
        <w:contextualSpacing/>
        <w:jc w:val="both"/>
        <w:rPr>
          <w:rFonts w:ascii="Times New Roman" w:hAnsi="Times New Roman" w:cs="Times New Roman"/>
        </w:rPr>
      </w:pPr>
      <w:r w:rsidRPr="003549BB">
        <w:rPr>
          <w:rFonts w:ascii="Times New Roman" w:hAnsi="Times New Roman" w:cs="Times New Roman"/>
        </w:rPr>
        <w:t>одна из сторон сделки не обязана отчуждать объект оценки, а другая сторона не обязана принимать исполнение;</w:t>
      </w:r>
    </w:p>
    <w:p w14:paraId="05B45807" w14:textId="77777777" w:rsidR="008E5F94" w:rsidRPr="003549BB" w:rsidRDefault="008E5F94" w:rsidP="003549BB">
      <w:pPr>
        <w:numPr>
          <w:ilvl w:val="0"/>
          <w:numId w:val="3"/>
        </w:numPr>
        <w:tabs>
          <w:tab w:val="left" w:pos="426"/>
          <w:tab w:val="left" w:pos="851"/>
        </w:tabs>
        <w:spacing w:before="100" w:after="100"/>
        <w:ind w:left="0" w:firstLine="0"/>
        <w:contextualSpacing/>
        <w:jc w:val="both"/>
        <w:rPr>
          <w:rFonts w:ascii="Times New Roman" w:hAnsi="Times New Roman" w:cs="Times New Roman"/>
        </w:rPr>
      </w:pPr>
      <w:r w:rsidRPr="003549BB">
        <w:rPr>
          <w:rFonts w:ascii="Times New Roman" w:hAnsi="Times New Roman" w:cs="Times New Roman"/>
        </w:rPr>
        <w:t>стороны сделки хорошо осведомлены о предмете сделки и действуют в своих интересах;</w:t>
      </w:r>
    </w:p>
    <w:p w14:paraId="72A1BA30" w14:textId="77777777" w:rsidR="008E5F94" w:rsidRPr="003549BB" w:rsidRDefault="008E5F94" w:rsidP="003549BB">
      <w:pPr>
        <w:numPr>
          <w:ilvl w:val="0"/>
          <w:numId w:val="3"/>
        </w:numPr>
        <w:tabs>
          <w:tab w:val="left" w:pos="426"/>
          <w:tab w:val="left" w:pos="851"/>
        </w:tabs>
        <w:spacing w:before="100" w:after="100"/>
        <w:ind w:left="0" w:firstLine="0"/>
        <w:contextualSpacing/>
        <w:jc w:val="both"/>
        <w:rPr>
          <w:rFonts w:ascii="Times New Roman" w:hAnsi="Times New Roman" w:cs="Times New Roman"/>
        </w:rPr>
      </w:pPr>
      <w:r w:rsidRPr="003549BB">
        <w:rPr>
          <w:rFonts w:ascii="Times New Roman" w:hAnsi="Times New Roman" w:cs="Times New Roman"/>
        </w:rPr>
        <w:t>объект оценки представлен на открытом рынке посредством публичной оферты, типичной для аналогичных объектов оценки;</w:t>
      </w:r>
    </w:p>
    <w:p w14:paraId="4170C5BD" w14:textId="77777777" w:rsidR="008E5F94" w:rsidRPr="003549BB" w:rsidRDefault="008E5F94" w:rsidP="003549BB">
      <w:pPr>
        <w:numPr>
          <w:ilvl w:val="0"/>
          <w:numId w:val="3"/>
        </w:numPr>
        <w:tabs>
          <w:tab w:val="left" w:pos="426"/>
          <w:tab w:val="left" w:pos="851"/>
        </w:tabs>
        <w:spacing w:before="100" w:after="100"/>
        <w:ind w:left="0" w:firstLine="0"/>
        <w:contextualSpacing/>
        <w:jc w:val="both"/>
        <w:rPr>
          <w:rFonts w:ascii="Times New Roman" w:hAnsi="Times New Roman" w:cs="Times New Roman"/>
        </w:rPr>
      </w:pPr>
      <w:r w:rsidRPr="003549BB">
        <w:rPr>
          <w:rFonts w:ascii="Times New Roman" w:hAnsi="Times New Roman" w:cs="Times New Roman"/>
        </w:rPr>
        <w:t>цена сделки представляет собой разумное вознаграждение за объект оценки и принуждения к совершению сделки в отношении сторон сделки с чьей-либо стороны не было;</w:t>
      </w:r>
    </w:p>
    <w:p w14:paraId="1E5EB8B5" w14:textId="77777777" w:rsidR="008E5F94" w:rsidRPr="003549BB" w:rsidRDefault="008E5F94" w:rsidP="003549BB">
      <w:pPr>
        <w:numPr>
          <w:ilvl w:val="0"/>
          <w:numId w:val="3"/>
        </w:numPr>
        <w:tabs>
          <w:tab w:val="left" w:pos="426"/>
          <w:tab w:val="left" w:pos="851"/>
        </w:tabs>
        <w:spacing w:before="100" w:after="100"/>
        <w:ind w:left="0" w:firstLine="0"/>
        <w:jc w:val="both"/>
        <w:rPr>
          <w:rFonts w:ascii="Times New Roman" w:hAnsi="Times New Roman" w:cs="Times New Roman"/>
        </w:rPr>
      </w:pPr>
      <w:r w:rsidRPr="003549BB">
        <w:rPr>
          <w:rFonts w:ascii="Times New Roman" w:hAnsi="Times New Roman" w:cs="Times New Roman"/>
        </w:rPr>
        <w:t xml:space="preserve">платеж за объект </w:t>
      </w:r>
      <w:r w:rsidR="00566D17">
        <w:rPr>
          <w:rFonts w:ascii="Times New Roman" w:hAnsi="Times New Roman" w:cs="Times New Roman"/>
        </w:rPr>
        <w:t>оценки выражен в денежной форме</w:t>
      </w:r>
      <w:r w:rsidRPr="003549BB">
        <w:rPr>
          <w:rFonts w:ascii="Times New Roman" w:hAnsi="Times New Roman" w:cs="Times New Roman"/>
        </w:rPr>
        <w:t xml:space="preserve"> (Федерал</w:t>
      </w:r>
      <w:r w:rsidR="00566D17">
        <w:rPr>
          <w:rFonts w:ascii="Times New Roman" w:hAnsi="Times New Roman" w:cs="Times New Roman"/>
        </w:rPr>
        <w:t xml:space="preserve">ьный стандарт оценки (ФСО №2), </w:t>
      </w:r>
      <w:r w:rsidRPr="003549BB">
        <w:rPr>
          <w:rFonts w:ascii="Times New Roman" w:hAnsi="Times New Roman" w:cs="Times New Roman"/>
        </w:rPr>
        <w:t>утвержденный приказом Минэкономразвития России от 20.05.2015 г. № 298).</w:t>
      </w:r>
    </w:p>
    <w:p w14:paraId="32E0B173" w14:textId="77777777" w:rsidR="008E5F94" w:rsidRPr="003549BB" w:rsidRDefault="008E5F94" w:rsidP="003549BB">
      <w:pPr>
        <w:tabs>
          <w:tab w:val="left" w:pos="426"/>
        </w:tabs>
        <w:spacing w:before="100" w:after="100"/>
        <w:jc w:val="both"/>
        <w:rPr>
          <w:rFonts w:ascii="Times New Roman" w:hAnsi="Times New Roman" w:cs="Times New Roman"/>
        </w:rPr>
      </w:pPr>
      <w:r w:rsidRPr="003549BB">
        <w:rPr>
          <w:rFonts w:ascii="Times New Roman" w:hAnsi="Times New Roman" w:cs="Times New Roman"/>
          <w:b/>
        </w:rPr>
        <w:t>Подходы к оценке</w:t>
      </w:r>
      <w:r w:rsidRPr="003549BB">
        <w:rPr>
          <w:rFonts w:ascii="Times New Roman" w:hAnsi="Times New Roman" w:cs="Times New Roman"/>
        </w:rPr>
        <w:t xml:space="preserve"> (Федеральный стандарт оценки (ФСО №1), утвержденный приказом Минэкономразвития</w:t>
      </w:r>
      <w:r w:rsidR="00566D17">
        <w:rPr>
          <w:rFonts w:ascii="Times New Roman" w:hAnsi="Times New Roman" w:cs="Times New Roman"/>
        </w:rPr>
        <w:t xml:space="preserve"> России от 20.05.2015 г. № 297):</w:t>
      </w:r>
    </w:p>
    <w:p w14:paraId="71045D5E" w14:textId="77777777" w:rsidR="008E5F94" w:rsidRPr="003549BB" w:rsidRDefault="008E5F94" w:rsidP="003549BB">
      <w:pPr>
        <w:tabs>
          <w:tab w:val="left" w:pos="426"/>
        </w:tabs>
        <w:spacing w:before="100" w:after="100"/>
        <w:jc w:val="both"/>
        <w:rPr>
          <w:rFonts w:ascii="Times New Roman" w:hAnsi="Times New Roman" w:cs="Times New Roman"/>
        </w:rPr>
      </w:pPr>
      <w:r w:rsidRPr="003549BB">
        <w:rPr>
          <w:rFonts w:ascii="Times New Roman" w:hAnsi="Times New Roman" w:cs="Times New Roman"/>
          <w:b/>
        </w:rPr>
        <w:t>затратный подход</w:t>
      </w:r>
      <w:r w:rsidRPr="003549BB">
        <w:rPr>
          <w:rFonts w:ascii="Times New Roman" w:hAnsi="Times New Roman" w:cs="Times New Roman"/>
        </w:rPr>
        <w:t xml:space="preserve"> - совокупность методов оценки стоимости объекта оценки, основанных на определении затрат, необходимых для воспроизводства либо замещения объекта оценки, с учетом износа и </w:t>
      </w:r>
      <w:proofErr w:type="spellStart"/>
      <w:r w:rsidRPr="003549BB">
        <w:rPr>
          <w:rFonts w:ascii="Times New Roman" w:hAnsi="Times New Roman" w:cs="Times New Roman"/>
        </w:rPr>
        <w:t>устареваний</w:t>
      </w:r>
      <w:proofErr w:type="spellEnd"/>
      <w:r w:rsidRPr="003549BB">
        <w:rPr>
          <w:rFonts w:ascii="Times New Roman" w:hAnsi="Times New Roman" w:cs="Times New Roman"/>
        </w:rPr>
        <w:t>;</w:t>
      </w:r>
    </w:p>
    <w:p w14:paraId="4F7EE21F" w14:textId="77777777" w:rsidR="008E5F94" w:rsidRPr="003549BB" w:rsidRDefault="008E5F94" w:rsidP="003549BB">
      <w:pPr>
        <w:tabs>
          <w:tab w:val="left" w:pos="426"/>
        </w:tabs>
        <w:spacing w:before="100" w:after="100"/>
        <w:jc w:val="both"/>
        <w:rPr>
          <w:rFonts w:ascii="Times New Roman" w:hAnsi="Times New Roman" w:cs="Times New Roman"/>
        </w:rPr>
      </w:pPr>
      <w:r w:rsidRPr="003549BB">
        <w:rPr>
          <w:rFonts w:ascii="Times New Roman" w:hAnsi="Times New Roman" w:cs="Times New Roman"/>
          <w:b/>
        </w:rPr>
        <w:t>сравнительный подход</w:t>
      </w:r>
      <w:r w:rsidRPr="003549BB">
        <w:rPr>
          <w:rFonts w:ascii="Times New Roman" w:hAnsi="Times New Roman" w:cs="Times New Roman"/>
        </w:rPr>
        <w:t xml:space="preserve"> - совокупность методов оценки стоимости объекта оценки, основанных на сравнении объекта оценки с объектами-аналогами объекта оценки, в отношении которых имеется информация о ценах; </w:t>
      </w:r>
    </w:p>
    <w:p w14:paraId="51B5AC95" w14:textId="77777777" w:rsidR="008E5F94" w:rsidRPr="003549BB" w:rsidRDefault="008E5F94" w:rsidP="003549BB">
      <w:pPr>
        <w:tabs>
          <w:tab w:val="left" w:pos="426"/>
        </w:tabs>
        <w:spacing w:before="100" w:after="100"/>
        <w:jc w:val="both"/>
        <w:rPr>
          <w:rFonts w:ascii="Times New Roman" w:hAnsi="Times New Roman" w:cs="Times New Roman"/>
        </w:rPr>
      </w:pPr>
      <w:r w:rsidRPr="003549BB">
        <w:rPr>
          <w:rFonts w:ascii="Times New Roman" w:hAnsi="Times New Roman" w:cs="Times New Roman"/>
          <w:b/>
        </w:rPr>
        <w:t>доходный подход</w:t>
      </w:r>
      <w:r w:rsidRPr="003549BB">
        <w:rPr>
          <w:rFonts w:ascii="Times New Roman" w:hAnsi="Times New Roman" w:cs="Times New Roman"/>
        </w:rPr>
        <w:t xml:space="preserve"> - совокупность методов оценки стоимости объекта оценки, основанных на определении ожидаемых доходов от использования объекта оценки.</w:t>
      </w:r>
    </w:p>
    <w:p w14:paraId="41AAAA7E" w14:textId="77777777" w:rsidR="008E5F94" w:rsidRPr="003549BB" w:rsidRDefault="008E5F94" w:rsidP="003549BB">
      <w:pPr>
        <w:tabs>
          <w:tab w:val="left" w:pos="426"/>
        </w:tabs>
        <w:spacing w:before="100" w:after="100"/>
        <w:jc w:val="both"/>
        <w:rPr>
          <w:rFonts w:ascii="Times New Roman" w:hAnsi="Times New Roman" w:cs="Times New Roman"/>
        </w:rPr>
      </w:pPr>
      <w:r w:rsidRPr="003549BB">
        <w:rPr>
          <w:rFonts w:ascii="Times New Roman" w:hAnsi="Times New Roman" w:cs="Times New Roman"/>
          <w:b/>
        </w:rPr>
        <w:t>Метод оценки</w:t>
      </w:r>
      <w:r w:rsidRPr="003549BB">
        <w:rPr>
          <w:rFonts w:ascii="Times New Roman" w:hAnsi="Times New Roman" w:cs="Times New Roman"/>
        </w:rPr>
        <w:t xml:space="preserve"> – последовательность процедур, позволяющая на основе существенной для данного метода информации определить стоимость объекта оценки в рамках одного из подходов к оценке (Федеральный стандарт оценки (ФСО №1), утвержденный приказом Минэкономразвития России от 20.05.2015 г. № 297).</w:t>
      </w:r>
    </w:p>
    <w:p w14:paraId="4B5B7FDC" w14:textId="77777777" w:rsidR="008E5F94" w:rsidRPr="003549BB" w:rsidRDefault="008E5F94" w:rsidP="003549BB">
      <w:pPr>
        <w:tabs>
          <w:tab w:val="left" w:pos="426"/>
        </w:tabs>
        <w:spacing w:before="100" w:after="100"/>
        <w:jc w:val="both"/>
        <w:rPr>
          <w:rFonts w:ascii="Times New Roman" w:hAnsi="Times New Roman" w:cs="Times New Roman"/>
        </w:rPr>
      </w:pPr>
      <w:r w:rsidRPr="003549BB">
        <w:rPr>
          <w:rFonts w:ascii="Times New Roman" w:hAnsi="Times New Roman" w:cs="Times New Roman"/>
          <w:b/>
        </w:rPr>
        <w:t>Дата оценки (дата проведения оценки, дата определения стоимости)</w:t>
      </w:r>
      <w:r w:rsidRPr="003549BB">
        <w:rPr>
          <w:rFonts w:ascii="Times New Roman" w:hAnsi="Times New Roman" w:cs="Times New Roman"/>
        </w:rPr>
        <w:t xml:space="preserve"> - дата, по состоянию на которую определяется стоимость объекта оценки (Федеральный стандарт оценки (ФСО №1), утвержденный приказом Минэкономразвития России от 20.05.2015 г. № 297).</w:t>
      </w:r>
    </w:p>
    <w:p w14:paraId="1044FDD5" w14:textId="77777777" w:rsidR="008E5F94" w:rsidRPr="003549BB" w:rsidRDefault="008E5F94" w:rsidP="003549BB">
      <w:pPr>
        <w:tabs>
          <w:tab w:val="left" w:pos="426"/>
        </w:tabs>
        <w:spacing w:before="100" w:after="100"/>
        <w:jc w:val="both"/>
        <w:rPr>
          <w:rFonts w:ascii="Times New Roman" w:hAnsi="Times New Roman" w:cs="Times New Roman"/>
        </w:rPr>
      </w:pPr>
      <w:r w:rsidRPr="003549BB">
        <w:rPr>
          <w:rFonts w:ascii="Times New Roman" w:hAnsi="Times New Roman" w:cs="Times New Roman"/>
          <w:b/>
        </w:rPr>
        <w:t>Цена объекта оценки</w:t>
      </w:r>
      <w:r w:rsidRPr="003549BB">
        <w:rPr>
          <w:rFonts w:ascii="Times New Roman" w:hAnsi="Times New Roman" w:cs="Times New Roman"/>
        </w:rPr>
        <w:t xml:space="preserve"> - денежная сумма, предлагаемая, запрашиваемая или уплаченная за объект оценки участниками совершенной или планируемой сделки (Федеральный стандарт оценки (ФСО №1), утвержденный приказом Минэкономразвития России от 20.05.2015 г. № 297).</w:t>
      </w:r>
    </w:p>
    <w:p w14:paraId="41CA7EDD" w14:textId="77777777" w:rsidR="008E5F94" w:rsidRPr="003549BB" w:rsidRDefault="008E5F94" w:rsidP="003549BB">
      <w:pPr>
        <w:tabs>
          <w:tab w:val="left" w:pos="426"/>
        </w:tabs>
        <w:spacing w:before="100" w:after="100"/>
        <w:jc w:val="both"/>
        <w:rPr>
          <w:rFonts w:ascii="Times New Roman" w:hAnsi="Times New Roman" w:cs="Times New Roman"/>
        </w:rPr>
      </w:pPr>
      <w:r w:rsidRPr="003549BB">
        <w:rPr>
          <w:rFonts w:ascii="Times New Roman" w:hAnsi="Times New Roman" w:cs="Times New Roman"/>
          <w:b/>
        </w:rPr>
        <w:t>Итоговая стоимость объекта оценки</w:t>
      </w:r>
      <w:r w:rsidRPr="003549BB">
        <w:rPr>
          <w:rFonts w:ascii="Times New Roman" w:hAnsi="Times New Roman" w:cs="Times New Roman"/>
        </w:rPr>
        <w:t xml:space="preserve"> определяется путем расчета стоимости объекта оценки при использовании подходов к оценке и обоснованного оценщиком согласования (обобщения) результатов, полученных в рамках применения различных подходов к оценке (Федеральный стандарт оценки (ФСО №1), утвержденный приказом Минэкономразвития России от 20.05.2015 г. № 297).</w:t>
      </w:r>
    </w:p>
    <w:p w14:paraId="1C2B972D" w14:textId="59367A5C" w:rsidR="008E5F94" w:rsidRPr="003549BB" w:rsidRDefault="009C32ED" w:rsidP="003549BB">
      <w:pPr>
        <w:tabs>
          <w:tab w:val="left" w:pos="426"/>
        </w:tabs>
        <w:spacing w:before="100" w:after="10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</w:t>
      </w:r>
      <w:r w:rsidR="008E5F94" w:rsidRPr="003549BB">
        <w:rPr>
          <w:rFonts w:ascii="Times New Roman" w:hAnsi="Times New Roman" w:cs="Times New Roman"/>
          <w:b/>
        </w:rPr>
        <w:t>. Этапы проведения работ.</w:t>
      </w:r>
    </w:p>
    <w:p w14:paraId="4F535271" w14:textId="77777777" w:rsidR="008E5F94" w:rsidRPr="003549BB" w:rsidRDefault="008E5F94" w:rsidP="003549BB">
      <w:pPr>
        <w:numPr>
          <w:ilvl w:val="0"/>
          <w:numId w:val="2"/>
        </w:numPr>
        <w:tabs>
          <w:tab w:val="left" w:pos="426"/>
        </w:tabs>
        <w:spacing w:before="100" w:after="100"/>
        <w:ind w:left="0" w:firstLine="0"/>
        <w:jc w:val="both"/>
        <w:rPr>
          <w:rFonts w:ascii="Times New Roman" w:hAnsi="Times New Roman" w:cs="Times New Roman"/>
        </w:rPr>
      </w:pPr>
      <w:r w:rsidRPr="003549BB">
        <w:rPr>
          <w:rFonts w:ascii="Times New Roman" w:hAnsi="Times New Roman" w:cs="Times New Roman"/>
        </w:rPr>
        <w:t>Заключение с Заказчиком договора об оценке</w:t>
      </w:r>
    </w:p>
    <w:p w14:paraId="4A8EA2A0" w14:textId="77777777" w:rsidR="008E5F94" w:rsidRPr="003549BB" w:rsidRDefault="008E5F94" w:rsidP="003549BB">
      <w:pPr>
        <w:numPr>
          <w:ilvl w:val="0"/>
          <w:numId w:val="2"/>
        </w:numPr>
        <w:tabs>
          <w:tab w:val="left" w:pos="426"/>
        </w:tabs>
        <w:spacing w:before="100" w:after="100"/>
        <w:ind w:left="0" w:firstLine="0"/>
        <w:jc w:val="both"/>
        <w:rPr>
          <w:rFonts w:ascii="Times New Roman" w:hAnsi="Times New Roman" w:cs="Times New Roman"/>
        </w:rPr>
      </w:pPr>
      <w:r w:rsidRPr="003549BB">
        <w:rPr>
          <w:rFonts w:ascii="Times New Roman" w:hAnsi="Times New Roman" w:cs="Times New Roman"/>
        </w:rPr>
        <w:lastRenderedPageBreak/>
        <w:t>Определение объекта оценки, цели оценки и даты определения стоимости</w:t>
      </w:r>
    </w:p>
    <w:p w14:paraId="5D01AB57" w14:textId="77777777" w:rsidR="008E5F94" w:rsidRPr="003549BB" w:rsidRDefault="008E5F94" w:rsidP="003549BB">
      <w:pPr>
        <w:numPr>
          <w:ilvl w:val="0"/>
          <w:numId w:val="2"/>
        </w:numPr>
        <w:tabs>
          <w:tab w:val="left" w:pos="426"/>
        </w:tabs>
        <w:spacing w:before="100" w:after="100"/>
        <w:ind w:left="0" w:firstLine="0"/>
        <w:jc w:val="both"/>
        <w:rPr>
          <w:rFonts w:ascii="Times New Roman" w:hAnsi="Times New Roman" w:cs="Times New Roman"/>
        </w:rPr>
      </w:pPr>
      <w:r w:rsidRPr="003549BB">
        <w:rPr>
          <w:rFonts w:ascii="Times New Roman" w:hAnsi="Times New Roman" w:cs="Times New Roman"/>
        </w:rPr>
        <w:t>Установление количественных и качественных характеристик объекта оценки</w:t>
      </w:r>
    </w:p>
    <w:p w14:paraId="241712EE" w14:textId="77777777" w:rsidR="008E5F94" w:rsidRPr="003549BB" w:rsidRDefault="008E5F94" w:rsidP="003549BB">
      <w:pPr>
        <w:numPr>
          <w:ilvl w:val="0"/>
          <w:numId w:val="2"/>
        </w:numPr>
        <w:tabs>
          <w:tab w:val="left" w:pos="426"/>
        </w:tabs>
        <w:spacing w:before="100" w:after="100"/>
        <w:ind w:left="0" w:firstLine="0"/>
        <w:jc w:val="both"/>
        <w:rPr>
          <w:rFonts w:ascii="Times New Roman" w:hAnsi="Times New Roman" w:cs="Times New Roman"/>
        </w:rPr>
      </w:pPr>
      <w:r w:rsidRPr="003549BB">
        <w:rPr>
          <w:rFonts w:ascii="Times New Roman" w:hAnsi="Times New Roman" w:cs="Times New Roman"/>
        </w:rPr>
        <w:t>Анализ рынка, к которому относится объект оценки</w:t>
      </w:r>
    </w:p>
    <w:p w14:paraId="243E04A3" w14:textId="2DD75138" w:rsidR="008E5F94" w:rsidRPr="003549BB" w:rsidRDefault="008E5F94" w:rsidP="003549BB">
      <w:pPr>
        <w:numPr>
          <w:ilvl w:val="0"/>
          <w:numId w:val="2"/>
        </w:numPr>
        <w:tabs>
          <w:tab w:val="left" w:pos="426"/>
        </w:tabs>
        <w:spacing w:before="100" w:after="100"/>
        <w:ind w:left="0" w:firstLine="0"/>
        <w:jc w:val="both"/>
        <w:rPr>
          <w:rFonts w:ascii="Times New Roman" w:hAnsi="Times New Roman" w:cs="Times New Roman"/>
        </w:rPr>
      </w:pPr>
      <w:r w:rsidRPr="003549BB">
        <w:rPr>
          <w:rFonts w:ascii="Times New Roman" w:hAnsi="Times New Roman" w:cs="Times New Roman"/>
        </w:rPr>
        <w:t xml:space="preserve">Анализ возможности применения затратного, сравнительного и доходного подходов к оценке </w:t>
      </w:r>
      <w:r w:rsidRPr="00780529">
        <w:rPr>
          <w:rFonts w:ascii="Times New Roman" w:hAnsi="Times New Roman" w:cs="Times New Roman"/>
          <w:color w:val="0070C0"/>
        </w:rPr>
        <w:t xml:space="preserve">рыночной стоимости </w:t>
      </w:r>
      <w:r w:rsidRPr="003549BB">
        <w:rPr>
          <w:rFonts w:ascii="Times New Roman" w:hAnsi="Times New Roman" w:cs="Times New Roman"/>
        </w:rPr>
        <w:t>объекта оценки или обоснование отказа от их использования</w:t>
      </w:r>
    </w:p>
    <w:p w14:paraId="7A44A253" w14:textId="77777777" w:rsidR="008E5F94" w:rsidRPr="003549BB" w:rsidRDefault="008E5F94" w:rsidP="003549BB">
      <w:pPr>
        <w:numPr>
          <w:ilvl w:val="0"/>
          <w:numId w:val="2"/>
        </w:numPr>
        <w:tabs>
          <w:tab w:val="left" w:pos="426"/>
        </w:tabs>
        <w:spacing w:before="100" w:after="100"/>
        <w:ind w:left="0" w:firstLine="0"/>
        <w:jc w:val="both"/>
        <w:rPr>
          <w:rFonts w:ascii="Times New Roman" w:hAnsi="Times New Roman" w:cs="Times New Roman"/>
        </w:rPr>
      </w:pPr>
      <w:r w:rsidRPr="003549BB">
        <w:rPr>
          <w:rFonts w:ascii="Times New Roman" w:hAnsi="Times New Roman" w:cs="Times New Roman"/>
        </w:rPr>
        <w:t>Применение доходного подхода.</w:t>
      </w:r>
    </w:p>
    <w:p w14:paraId="36144470" w14:textId="77777777" w:rsidR="008E5F94" w:rsidRPr="003549BB" w:rsidRDefault="008E5F94" w:rsidP="003549BB">
      <w:pPr>
        <w:numPr>
          <w:ilvl w:val="0"/>
          <w:numId w:val="2"/>
        </w:numPr>
        <w:tabs>
          <w:tab w:val="left" w:pos="426"/>
        </w:tabs>
        <w:spacing w:before="100" w:after="100"/>
        <w:ind w:left="0" w:firstLine="0"/>
        <w:jc w:val="both"/>
        <w:rPr>
          <w:rFonts w:ascii="Times New Roman" w:hAnsi="Times New Roman" w:cs="Times New Roman"/>
        </w:rPr>
      </w:pPr>
      <w:r w:rsidRPr="003549BB">
        <w:rPr>
          <w:rFonts w:ascii="Times New Roman" w:hAnsi="Times New Roman" w:cs="Times New Roman"/>
        </w:rPr>
        <w:t>Применение затратного подхода.</w:t>
      </w:r>
    </w:p>
    <w:p w14:paraId="429240F3" w14:textId="77777777" w:rsidR="008E5F94" w:rsidRPr="003549BB" w:rsidRDefault="008E5F94" w:rsidP="003549BB">
      <w:pPr>
        <w:numPr>
          <w:ilvl w:val="0"/>
          <w:numId w:val="2"/>
        </w:numPr>
        <w:tabs>
          <w:tab w:val="left" w:pos="426"/>
        </w:tabs>
        <w:spacing w:before="100" w:after="100"/>
        <w:ind w:left="0" w:firstLine="0"/>
        <w:jc w:val="both"/>
        <w:rPr>
          <w:rFonts w:ascii="Times New Roman" w:hAnsi="Times New Roman" w:cs="Times New Roman"/>
        </w:rPr>
      </w:pPr>
      <w:r w:rsidRPr="003549BB">
        <w:rPr>
          <w:rFonts w:ascii="Times New Roman" w:hAnsi="Times New Roman" w:cs="Times New Roman"/>
        </w:rPr>
        <w:t>Применение сравнительного подхода.</w:t>
      </w:r>
    </w:p>
    <w:p w14:paraId="7FD26FF5" w14:textId="77777777" w:rsidR="008E5F94" w:rsidRPr="003549BB" w:rsidRDefault="008E5F94" w:rsidP="003549BB">
      <w:pPr>
        <w:numPr>
          <w:ilvl w:val="0"/>
          <w:numId w:val="2"/>
        </w:numPr>
        <w:tabs>
          <w:tab w:val="left" w:pos="426"/>
        </w:tabs>
        <w:spacing w:before="100" w:after="100"/>
        <w:ind w:left="0" w:firstLine="0"/>
        <w:jc w:val="both"/>
        <w:rPr>
          <w:rFonts w:ascii="Times New Roman" w:hAnsi="Times New Roman" w:cs="Times New Roman"/>
        </w:rPr>
      </w:pPr>
      <w:r w:rsidRPr="003549BB">
        <w:rPr>
          <w:rFonts w:ascii="Times New Roman" w:hAnsi="Times New Roman" w:cs="Times New Roman"/>
        </w:rPr>
        <w:t>Составление и передача Заказчику отчета об оценке.</w:t>
      </w:r>
    </w:p>
    <w:p w14:paraId="471E075C" w14:textId="34ADBBE8" w:rsidR="008E5F94" w:rsidRPr="003549BB" w:rsidRDefault="009C32ED" w:rsidP="003549BB">
      <w:pPr>
        <w:tabs>
          <w:tab w:val="left" w:pos="426"/>
        </w:tabs>
        <w:spacing w:before="100" w:after="10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8E5F94" w:rsidRPr="003549BB">
        <w:rPr>
          <w:rFonts w:ascii="Times New Roman" w:hAnsi="Times New Roman" w:cs="Times New Roman"/>
          <w:b/>
        </w:rPr>
        <w:t>.</w:t>
      </w:r>
      <w:r w:rsidR="00566D17">
        <w:rPr>
          <w:rFonts w:ascii="Times New Roman" w:hAnsi="Times New Roman" w:cs="Times New Roman"/>
          <w:b/>
        </w:rPr>
        <w:t xml:space="preserve"> </w:t>
      </w:r>
      <w:r w:rsidR="008E5F94" w:rsidRPr="003549BB">
        <w:rPr>
          <w:rFonts w:ascii="Times New Roman" w:hAnsi="Times New Roman" w:cs="Times New Roman"/>
          <w:b/>
        </w:rPr>
        <w:t>Допущения и ограничения, на которых должна основываться оценка:</w:t>
      </w:r>
    </w:p>
    <w:p w14:paraId="660D29EA" w14:textId="77777777" w:rsidR="008E5F94" w:rsidRPr="003549BB" w:rsidRDefault="008E5F94" w:rsidP="003549BB">
      <w:pPr>
        <w:tabs>
          <w:tab w:val="left" w:pos="426"/>
        </w:tabs>
        <w:spacing w:before="100" w:after="100"/>
        <w:jc w:val="both"/>
        <w:rPr>
          <w:rFonts w:ascii="Times New Roman" w:hAnsi="Times New Roman" w:cs="Times New Roman"/>
        </w:rPr>
      </w:pPr>
      <w:r w:rsidRPr="003549BB">
        <w:rPr>
          <w:rFonts w:ascii="Times New Roman" w:hAnsi="Times New Roman" w:cs="Times New Roman"/>
        </w:rPr>
        <w:t>Вся финансовая и операционная информация в соответствии с информационным запросом будет предоставлена руководством Заказчика Исполнителю своевременно.</w:t>
      </w:r>
    </w:p>
    <w:p w14:paraId="220DD984" w14:textId="77777777" w:rsidR="008E5F94" w:rsidRPr="003549BB" w:rsidRDefault="008E5F94" w:rsidP="003549BB">
      <w:pPr>
        <w:tabs>
          <w:tab w:val="left" w:pos="426"/>
        </w:tabs>
        <w:spacing w:before="100" w:after="100"/>
        <w:jc w:val="both"/>
        <w:rPr>
          <w:rFonts w:ascii="Times New Roman" w:hAnsi="Times New Roman" w:cs="Times New Roman"/>
        </w:rPr>
      </w:pPr>
      <w:r w:rsidRPr="003549BB">
        <w:rPr>
          <w:rFonts w:ascii="Times New Roman" w:hAnsi="Times New Roman" w:cs="Times New Roman"/>
        </w:rPr>
        <w:t>Заказчик понимает, что Исполнитель не будет проводить аудит предоставляемой информации.</w:t>
      </w:r>
    </w:p>
    <w:p w14:paraId="085E58D3" w14:textId="77777777" w:rsidR="008E5F94" w:rsidRPr="003549BB" w:rsidRDefault="008E5F94" w:rsidP="003549BB">
      <w:pPr>
        <w:tabs>
          <w:tab w:val="left" w:pos="426"/>
        </w:tabs>
        <w:spacing w:before="100" w:after="100"/>
        <w:jc w:val="both"/>
        <w:rPr>
          <w:rFonts w:ascii="Times New Roman" w:hAnsi="Times New Roman" w:cs="Times New Roman"/>
        </w:rPr>
      </w:pPr>
      <w:r w:rsidRPr="003549BB">
        <w:rPr>
          <w:rFonts w:ascii="Times New Roman" w:hAnsi="Times New Roman" w:cs="Times New Roman"/>
        </w:rPr>
        <w:t>Оказание услуг производится в предположении отсутствия каких-либо обременений оцениваемых прав.</w:t>
      </w:r>
    </w:p>
    <w:p w14:paraId="26824F26" w14:textId="77777777" w:rsidR="008E5F94" w:rsidRPr="003549BB" w:rsidRDefault="008E5F94" w:rsidP="003549BB">
      <w:pPr>
        <w:tabs>
          <w:tab w:val="left" w:pos="426"/>
        </w:tabs>
        <w:spacing w:before="100" w:after="100"/>
        <w:jc w:val="both"/>
        <w:rPr>
          <w:rFonts w:ascii="Times New Roman" w:hAnsi="Times New Roman" w:cs="Times New Roman"/>
        </w:rPr>
      </w:pPr>
      <w:r w:rsidRPr="003549BB">
        <w:rPr>
          <w:rFonts w:ascii="Times New Roman" w:hAnsi="Times New Roman" w:cs="Times New Roman"/>
        </w:rPr>
        <w:t>Оказание услуг проводится в предположении предоставления Заказчиком достаточной и достоверной информации по объекту.</w:t>
      </w:r>
    </w:p>
    <w:p w14:paraId="70233CFE" w14:textId="77777777" w:rsidR="008E5F94" w:rsidRPr="003549BB" w:rsidRDefault="008E5F94" w:rsidP="003549BB">
      <w:pPr>
        <w:tabs>
          <w:tab w:val="left" w:pos="426"/>
        </w:tabs>
        <w:spacing w:before="100" w:after="100"/>
        <w:jc w:val="both"/>
        <w:rPr>
          <w:rFonts w:ascii="Times New Roman" w:hAnsi="Times New Roman" w:cs="Times New Roman"/>
        </w:rPr>
      </w:pPr>
      <w:r w:rsidRPr="003549BB">
        <w:rPr>
          <w:rFonts w:ascii="Times New Roman" w:hAnsi="Times New Roman" w:cs="Times New Roman"/>
        </w:rPr>
        <w:t>Прочие допущения и ограничения, возникающие в процессе оказания услуг, будут приведены в Отчете.</w:t>
      </w:r>
    </w:p>
    <w:p w14:paraId="12E7D476" w14:textId="2E5791D1" w:rsidR="008E5F94" w:rsidRPr="003549BB" w:rsidRDefault="009C32ED" w:rsidP="003549BB">
      <w:pPr>
        <w:tabs>
          <w:tab w:val="left" w:pos="426"/>
        </w:tabs>
        <w:spacing w:before="100" w:after="10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8E5F94" w:rsidRPr="003549BB">
        <w:rPr>
          <w:rFonts w:ascii="Times New Roman" w:hAnsi="Times New Roman" w:cs="Times New Roman"/>
          <w:b/>
        </w:rPr>
        <w:t>. Представление Отчета об оценки:</w:t>
      </w:r>
    </w:p>
    <w:p w14:paraId="62CE73D4" w14:textId="3CEB6884" w:rsidR="008E5F94" w:rsidRPr="003549BB" w:rsidRDefault="008E5F94" w:rsidP="003549BB">
      <w:pPr>
        <w:pStyle w:val="BodyText"/>
        <w:tabs>
          <w:tab w:val="left" w:pos="426"/>
        </w:tabs>
        <w:spacing w:before="100" w:after="100"/>
        <w:jc w:val="both"/>
        <w:rPr>
          <w:rFonts w:ascii="Times New Roman" w:hAnsi="Times New Roman"/>
        </w:rPr>
      </w:pPr>
      <w:r w:rsidRPr="003549BB">
        <w:rPr>
          <w:rFonts w:ascii="Times New Roman" w:hAnsi="Times New Roman"/>
          <w:snapToGrid w:val="0"/>
          <w:color w:val="000000"/>
        </w:rPr>
        <w:t xml:space="preserve">Результаты услуг оформляются в письменном виде в форме отчетов об оценке рыночной стоимости </w:t>
      </w:r>
      <w:r w:rsidR="00780529" w:rsidRPr="00780529">
        <w:rPr>
          <w:rFonts w:ascii="Times New Roman" w:hAnsi="Times New Roman"/>
          <w:snapToGrid w:val="0"/>
          <w:color w:val="0070C0"/>
        </w:rPr>
        <w:t>объекта оценки</w:t>
      </w:r>
      <w:r w:rsidRPr="003549BB">
        <w:rPr>
          <w:rFonts w:ascii="Times New Roman" w:hAnsi="Times New Roman"/>
          <w:snapToGrid w:val="0"/>
          <w:color w:val="000000"/>
        </w:rPr>
        <w:t xml:space="preserve">, </w:t>
      </w:r>
      <w:r w:rsidR="00566D17" w:rsidRPr="00780529">
        <w:rPr>
          <w:rFonts w:ascii="Times New Roman" w:hAnsi="Times New Roman"/>
          <w:color w:val="0070C0"/>
        </w:rPr>
        <w:t xml:space="preserve">в </w:t>
      </w:r>
      <w:r w:rsidR="00780529" w:rsidRPr="00780529">
        <w:rPr>
          <w:rFonts w:ascii="Times New Roman" w:hAnsi="Times New Roman"/>
          <w:color w:val="0070C0"/>
        </w:rPr>
        <w:t>одном экземпляре</w:t>
      </w:r>
      <w:r w:rsidRPr="003549BB">
        <w:rPr>
          <w:rFonts w:ascii="Times New Roman" w:hAnsi="Times New Roman"/>
        </w:rPr>
        <w:t>, а также электронных копий (в формате «только для чтения»</w:t>
      </w:r>
      <w:r w:rsidR="00566D17">
        <w:rPr>
          <w:rFonts w:ascii="Times New Roman" w:hAnsi="Times New Roman"/>
        </w:rPr>
        <w:t xml:space="preserve"> и формате «для редактирования»</w:t>
      </w:r>
      <w:r w:rsidRPr="003549BB">
        <w:rPr>
          <w:rFonts w:ascii="Times New Roman" w:hAnsi="Times New Roman"/>
        </w:rPr>
        <w:t>).</w:t>
      </w:r>
      <w:bookmarkStart w:id="0" w:name="_GoBack"/>
      <w:bookmarkEnd w:id="0"/>
    </w:p>
    <w:p w14:paraId="39505FA2" w14:textId="11590814" w:rsidR="004F4B2F" w:rsidRDefault="009C32ED" w:rsidP="003549BB">
      <w:pPr>
        <w:pStyle w:val="Heading2"/>
        <w:spacing w:before="0" w:after="120"/>
        <w:jc w:val="both"/>
        <w:rPr>
          <w:rFonts w:ascii="Times New Roman" w:eastAsia="MS Mincho" w:hAnsi="Times New Roman" w:cs="Times New Roman"/>
          <w:color w:val="auto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5</w:t>
      </w:r>
      <w:r w:rsidR="004F4B2F" w:rsidRPr="003549B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. </w:t>
      </w:r>
      <w:r w:rsidR="005B3BB8" w:rsidRPr="003549B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Сроки оказание услуг</w:t>
      </w:r>
      <w:r w:rsidR="004F4B2F" w:rsidRPr="003549B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:</w:t>
      </w:r>
      <w:r w:rsidR="004F4B2F" w:rsidRPr="003549BB">
        <w:rPr>
          <w:rFonts w:ascii="Times New Roman" w:hAnsi="Times New Roman" w:cs="Times New Roman"/>
          <w:sz w:val="20"/>
          <w:szCs w:val="20"/>
        </w:rPr>
        <w:t xml:space="preserve"> </w:t>
      </w:r>
      <w:r w:rsidR="006D525E" w:rsidRPr="006D525E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  <w:t>в соответствии с Договором</w:t>
      </w:r>
      <w:r w:rsidR="004F4B2F" w:rsidRPr="006D525E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  <w:lang w:eastAsia="ru-RU"/>
        </w:rPr>
        <w:t>.</w:t>
      </w:r>
    </w:p>
    <w:p w14:paraId="65022E48" w14:textId="34724777" w:rsidR="00742041" w:rsidRDefault="00742041" w:rsidP="00742041">
      <w:pPr>
        <w:rPr>
          <w:rFonts w:eastAsia="MS Mincho"/>
          <w:lang w:eastAsia="en-US"/>
        </w:rPr>
      </w:pPr>
    </w:p>
    <w:p w14:paraId="072AB093" w14:textId="77777777" w:rsidR="00742041" w:rsidRDefault="00742041" w:rsidP="00742041">
      <w:pPr>
        <w:jc w:val="center"/>
        <w:rPr>
          <w:rFonts w:ascii="Times New Roman" w:hAnsi="Times New Roman" w:cs="Times New Roman"/>
          <w:b/>
          <w:szCs w:val="24"/>
          <w:lang w:val="x-none" w:eastAsia="x-none"/>
        </w:rPr>
      </w:pPr>
      <w:r>
        <w:rPr>
          <w:rFonts w:ascii="Times New Roman" w:hAnsi="Times New Roman" w:cs="Times New Roman"/>
          <w:b/>
          <w:szCs w:val="24"/>
          <w:lang w:val="x-none" w:eastAsia="x-none"/>
        </w:rPr>
        <w:t>ПОДПИСИ СТОРОН</w:t>
      </w:r>
    </w:p>
    <w:p w14:paraId="517C70CB" w14:textId="77777777" w:rsidR="00742041" w:rsidRPr="00742041" w:rsidRDefault="00742041" w:rsidP="00742041">
      <w:pPr>
        <w:jc w:val="right"/>
        <w:rPr>
          <w:rFonts w:ascii="Times New Roman" w:hAnsi="Times New Roman" w:cs="Times New Roman"/>
          <w:b/>
        </w:rPr>
      </w:pPr>
    </w:p>
    <w:p w14:paraId="2DFFF9A2" w14:textId="77777777" w:rsidR="00742041" w:rsidRPr="00742041" w:rsidRDefault="00742041" w:rsidP="00742041">
      <w:pPr>
        <w:jc w:val="right"/>
        <w:rPr>
          <w:rFonts w:ascii="Times New Roman" w:hAnsi="Times New Roman" w:cs="Times New Roman"/>
          <w:b/>
        </w:rPr>
      </w:pPr>
    </w:p>
    <w:p w14:paraId="1F2C6731" w14:textId="0409F9EF" w:rsidR="00742041" w:rsidRDefault="00742041" w:rsidP="00742041">
      <w:pPr>
        <w:rPr>
          <w:rFonts w:eastAsia="MS Mincho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7"/>
        <w:gridCol w:w="4801"/>
      </w:tblGrid>
      <w:tr w:rsidR="00B17720" w:rsidRPr="00222D6F" w14:paraId="72127BB7" w14:textId="77777777" w:rsidTr="00FF76A4">
        <w:tc>
          <w:tcPr>
            <w:tcW w:w="5077" w:type="dxa"/>
            <w:shd w:val="clear" w:color="auto" w:fill="auto"/>
          </w:tcPr>
          <w:p w14:paraId="0008047E" w14:textId="77777777" w:rsidR="00B17720" w:rsidRPr="00B17720" w:rsidRDefault="00B17720" w:rsidP="00FF76A4">
            <w:pPr>
              <w:ind w:right="-192"/>
              <w:rPr>
                <w:rFonts w:ascii="Times New Roman" w:hAnsi="Times New Roman" w:cs="Times New Roman"/>
              </w:rPr>
            </w:pPr>
            <w:r w:rsidRPr="00B17720">
              <w:rPr>
                <w:rFonts w:ascii="Times New Roman" w:hAnsi="Times New Roman" w:cs="Times New Roman"/>
              </w:rPr>
              <w:t>От Заказчика:</w:t>
            </w:r>
          </w:p>
          <w:p w14:paraId="4EA1050D" w14:textId="77777777" w:rsidR="00B17720" w:rsidRPr="00B17720" w:rsidRDefault="00B17720" w:rsidP="00FF76A4">
            <w:pPr>
              <w:ind w:right="-192"/>
              <w:rPr>
                <w:rFonts w:ascii="Times New Roman" w:hAnsi="Times New Roman" w:cs="Times New Roman"/>
              </w:rPr>
            </w:pPr>
            <w:r w:rsidRPr="00B17720">
              <w:rPr>
                <w:rFonts w:ascii="Times New Roman" w:hAnsi="Times New Roman" w:cs="Times New Roman"/>
              </w:rPr>
              <w:t xml:space="preserve">Директор </w:t>
            </w:r>
          </w:p>
          <w:p w14:paraId="124BB52B" w14:textId="21F4687C" w:rsidR="00B17720" w:rsidRPr="00B17720" w:rsidRDefault="003D3456" w:rsidP="00FF76A4">
            <w:pPr>
              <w:ind w:right="-192"/>
              <w:rPr>
                <w:rFonts w:ascii="Times New Roman" w:hAnsi="Times New Roman" w:cs="Times New Roman"/>
              </w:rPr>
            </w:pPr>
            <w:r w:rsidRPr="003D3456">
              <w:rPr>
                <w:rFonts w:ascii="Times New Roman" w:hAnsi="Times New Roman" w:cs="Times New Roman"/>
              </w:rPr>
              <w:t>АО "Иркутскэнерго"</w:t>
            </w:r>
          </w:p>
          <w:p w14:paraId="7D71F3E1" w14:textId="77777777" w:rsidR="00B17720" w:rsidRPr="00B17720" w:rsidRDefault="00B17720" w:rsidP="00FF76A4">
            <w:pPr>
              <w:ind w:right="-192"/>
              <w:rPr>
                <w:rFonts w:ascii="Times New Roman" w:hAnsi="Times New Roman" w:cs="Times New Roman"/>
              </w:rPr>
            </w:pPr>
          </w:p>
          <w:p w14:paraId="17A606F6" w14:textId="77777777" w:rsidR="00B17720" w:rsidRPr="00B17720" w:rsidRDefault="00B17720" w:rsidP="00FF76A4">
            <w:pPr>
              <w:ind w:right="-192"/>
              <w:rPr>
                <w:rFonts w:ascii="Times New Roman" w:hAnsi="Times New Roman" w:cs="Times New Roman"/>
              </w:rPr>
            </w:pPr>
          </w:p>
        </w:tc>
        <w:tc>
          <w:tcPr>
            <w:tcW w:w="5077" w:type="dxa"/>
            <w:shd w:val="clear" w:color="auto" w:fill="auto"/>
          </w:tcPr>
          <w:p w14:paraId="5765C789" w14:textId="77777777" w:rsidR="00B17720" w:rsidRPr="00B17720" w:rsidRDefault="00B17720" w:rsidP="00FF76A4">
            <w:pPr>
              <w:ind w:right="-192"/>
              <w:rPr>
                <w:rFonts w:ascii="Times New Roman" w:hAnsi="Times New Roman" w:cs="Times New Roman"/>
              </w:rPr>
            </w:pPr>
            <w:r w:rsidRPr="00B17720">
              <w:rPr>
                <w:rFonts w:ascii="Times New Roman" w:hAnsi="Times New Roman" w:cs="Times New Roman"/>
              </w:rPr>
              <w:t>От Исполнителя:</w:t>
            </w:r>
          </w:p>
          <w:p w14:paraId="76A4A723" w14:textId="77777777" w:rsidR="00B17720" w:rsidRPr="00B17720" w:rsidRDefault="00B17720" w:rsidP="00FF76A4">
            <w:pPr>
              <w:ind w:right="-192"/>
              <w:rPr>
                <w:rFonts w:ascii="Times New Roman" w:hAnsi="Times New Roman" w:cs="Times New Roman"/>
              </w:rPr>
            </w:pPr>
            <w:r w:rsidRPr="00B17720">
              <w:rPr>
                <w:rFonts w:ascii="Times New Roman" w:hAnsi="Times New Roman" w:cs="Times New Roman"/>
              </w:rPr>
              <w:t xml:space="preserve">Генеральный директор </w:t>
            </w:r>
          </w:p>
          <w:p w14:paraId="72DF0D69" w14:textId="77777777" w:rsidR="00B17720" w:rsidRPr="00B17720" w:rsidRDefault="00B17720" w:rsidP="003D3456">
            <w:pPr>
              <w:pStyle w:val="BodyText2"/>
              <w:rPr>
                <w:rFonts w:ascii="Times New Roman" w:hAnsi="Times New Roman" w:cs="Times New Roman"/>
              </w:rPr>
            </w:pPr>
          </w:p>
        </w:tc>
      </w:tr>
      <w:tr w:rsidR="00B17720" w:rsidRPr="00222D6F" w14:paraId="78EB8F71" w14:textId="77777777" w:rsidTr="00E538F0">
        <w:trPr>
          <w:trHeight w:val="352"/>
        </w:trPr>
        <w:tc>
          <w:tcPr>
            <w:tcW w:w="5077" w:type="dxa"/>
            <w:shd w:val="clear" w:color="auto" w:fill="auto"/>
          </w:tcPr>
          <w:p w14:paraId="4A20FE03" w14:textId="4CC48BE0" w:rsidR="00B17720" w:rsidRPr="00B17720" w:rsidRDefault="00B17720" w:rsidP="003D3456">
            <w:pPr>
              <w:ind w:right="-192"/>
              <w:rPr>
                <w:rFonts w:ascii="Times New Roman" w:hAnsi="Times New Roman" w:cs="Times New Roman"/>
              </w:rPr>
            </w:pPr>
            <w:r w:rsidRPr="00B17720">
              <w:rPr>
                <w:rFonts w:ascii="Times New Roman" w:hAnsi="Times New Roman" w:cs="Times New Roman"/>
              </w:rPr>
              <w:t>_____________________________ /</w:t>
            </w:r>
            <w:r w:rsidR="003D3456" w:rsidRPr="00B17720">
              <w:rPr>
                <w:rFonts w:ascii="Times New Roman" w:hAnsi="Times New Roman" w:cs="Times New Roman"/>
              </w:rPr>
              <w:t xml:space="preserve"> </w:t>
            </w:r>
            <w:r w:rsidRPr="00B17720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077" w:type="dxa"/>
            <w:shd w:val="clear" w:color="auto" w:fill="auto"/>
          </w:tcPr>
          <w:p w14:paraId="6EBD8D88" w14:textId="7354DAFB" w:rsidR="00B17720" w:rsidRPr="00B17720" w:rsidRDefault="003D3456" w:rsidP="003D3456">
            <w:pPr>
              <w:ind w:right="-19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 /</w:t>
            </w:r>
            <w:r w:rsidR="00B17720" w:rsidRPr="00B17720">
              <w:rPr>
                <w:rFonts w:ascii="Times New Roman" w:hAnsi="Times New Roman" w:cs="Times New Roman"/>
              </w:rPr>
              <w:t xml:space="preserve"> /</w:t>
            </w:r>
            <w:r w:rsidR="00B17720" w:rsidRPr="00B17720">
              <w:rPr>
                <w:rFonts w:ascii="Times New Roman" w:hAnsi="Times New Roman" w:cs="Times New Roman"/>
              </w:rPr>
              <w:tab/>
            </w:r>
          </w:p>
        </w:tc>
      </w:tr>
    </w:tbl>
    <w:p w14:paraId="0DC60059" w14:textId="77777777" w:rsidR="00B17720" w:rsidRPr="00742041" w:rsidRDefault="00B17720" w:rsidP="00742041">
      <w:pPr>
        <w:rPr>
          <w:rFonts w:eastAsia="MS Mincho"/>
          <w:lang w:eastAsia="en-US"/>
        </w:rPr>
      </w:pPr>
    </w:p>
    <w:sectPr w:rsidR="00B17720" w:rsidRPr="00742041" w:rsidSect="003549B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E1CB0"/>
    <w:multiLevelType w:val="hybridMultilevel"/>
    <w:tmpl w:val="9AC035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6355D16"/>
    <w:multiLevelType w:val="hybridMultilevel"/>
    <w:tmpl w:val="C0A4100E"/>
    <w:lvl w:ilvl="0" w:tplc="F6C2F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0B24D8"/>
    <w:multiLevelType w:val="hybridMultilevel"/>
    <w:tmpl w:val="440C091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668B2402"/>
    <w:multiLevelType w:val="multilevel"/>
    <w:tmpl w:val="40486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9335F2F"/>
    <w:multiLevelType w:val="hybridMultilevel"/>
    <w:tmpl w:val="230C097A"/>
    <w:lvl w:ilvl="0" w:tplc="5CBE4790">
      <w:start w:val="1"/>
      <w:numFmt w:val="bullet"/>
      <w:lvlText w:val=""/>
      <w:lvlJc w:val="left"/>
      <w:pPr>
        <w:tabs>
          <w:tab w:val="num" w:pos="3272"/>
        </w:tabs>
        <w:ind w:left="3272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3992"/>
        </w:tabs>
        <w:ind w:left="3992" w:hanging="360"/>
      </w:pPr>
      <w:rPr>
        <w:rFonts w:ascii="Times New Roman" w:hAnsi="Times New Roman" w:cs="Times New Roman" w:hint="default"/>
        <w:sz w:val="24"/>
      </w:rPr>
    </w:lvl>
    <w:lvl w:ilvl="2" w:tplc="0419001B">
      <w:start w:val="1"/>
      <w:numFmt w:val="bullet"/>
      <w:lvlText w:val=""/>
      <w:lvlJc w:val="left"/>
      <w:pPr>
        <w:tabs>
          <w:tab w:val="num" w:pos="4712"/>
        </w:tabs>
        <w:ind w:left="4712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5432"/>
        </w:tabs>
        <w:ind w:left="5432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6152"/>
        </w:tabs>
        <w:ind w:left="6152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6872"/>
        </w:tabs>
        <w:ind w:left="6872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7592"/>
        </w:tabs>
        <w:ind w:left="7592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8312"/>
        </w:tabs>
        <w:ind w:left="8312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9032"/>
        </w:tabs>
        <w:ind w:left="9032" w:hanging="360"/>
      </w:pPr>
      <w:rPr>
        <w:rFonts w:ascii="Wingdings" w:hAnsi="Wingdings" w:hint="default"/>
      </w:rPr>
    </w:lvl>
  </w:abstractNum>
  <w:abstractNum w:abstractNumId="5" w15:restartNumberingAfterBreak="0">
    <w:nsid w:val="7E363ABC"/>
    <w:multiLevelType w:val="hybridMultilevel"/>
    <w:tmpl w:val="1E481ABE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F94"/>
    <w:rsid w:val="0005095F"/>
    <w:rsid w:val="0007468C"/>
    <w:rsid w:val="001A62E9"/>
    <w:rsid w:val="00226B25"/>
    <w:rsid w:val="002553A2"/>
    <w:rsid w:val="00291B0D"/>
    <w:rsid w:val="002B57FE"/>
    <w:rsid w:val="003549BB"/>
    <w:rsid w:val="003D3456"/>
    <w:rsid w:val="00434571"/>
    <w:rsid w:val="00457CBF"/>
    <w:rsid w:val="004E4868"/>
    <w:rsid w:val="004F4B2F"/>
    <w:rsid w:val="00566D17"/>
    <w:rsid w:val="005B3BB8"/>
    <w:rsid w:val="005D43BD"/>
    <w:rsid w:val="005F0019"/>
    <w:rsid w:val="006C0057"/>
    <w:rsid w:val="006D525E"/>
    <w:rsid w:val="00742041"/>
    <w:rsid w:val="007645CA"/>
    <w:rsid w:val="00780529"/>
    <w:rsid w:val="00782CE0"/>
    <w:rsid w:val="007A3A10"/>
    <w:rsid w:val="007F3111"/>
    <w:rsid w:val="00806281"/>
    <w:rsid w:val="00867774"/>
    <w:rsid w:val="008E5F94"/>
    <w:rsid w:val="009056F8"/>
    <w:rsid w:val="009C32ED"/>
    <w:rsid w:val="00B17720"/>
    <w:rsid w:val="00BA5DA7"/>
    <w:rsid w:val="00C97E13"/>
    <w:rsid w:val="00D11139"/>
    <w:rsid w:val="00E26AE2"/>
    <w:rsid w:val="00E538F0"/>
    <w:rsid w:val="00EB6853"/>
    <w:rsid w:val="00EF65BD"/>
    <w:rsid w:val="00F66B90"/>
    <w:rsid w:val="00F8218A"/>
    <w:rsid w:val="00F85D2C"/>
    <w:rsid w:val="00F93E78"/>
    <w:rsid w:val="00FC45F2"/>
    <w:rsid w:val="00FC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4C302F8"/>
  <w15:docId w15:val="{63733574-81E5-4F90-A90C-9333F82D2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F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65BD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E5F94"/>
    <w:pPr>
      <w:spacing w:after="120"/>
    </w:pPr>
    <w:rPr>
      <w:rFonts w:cs="Times New Roman"/>
    </w:rPr>
  </w:style>
  <w:style w:type="character" w:customStyle="1" w:styleId="BodyTextChar">
    <w:name w:val="Body Text Char"/>
    <w:basedOn w:val="DefaultParagraphFont"/>
    <w:link w:val="BodyText"/>
    <w:uiPriority w:val="99"/>
    <w:rsid w:val="008E5F9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65B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ja-JP"/>
    </w:rPr>
  </w:style>
  <w:style w:type="paragraph" w:customStyle="1" w:styleId="1">
    <w:name w:val="Абзац списка1"/>
    <w:basedOn w:val="Normal"/>
    <w:rsid w:val="00EF65BD"/>
    <w:pPr>
      <w:widowControl/>
      <w:autoSpaceDE/>
      <w:autoSpaceDN/>
      <w:adjustRightInd/>
      <w:spacing w:after="200" w:line="252" w:lineRule="auto"/>
      <w:ind w:left="720"/>
      <w:contextualSpacing/>
    </w:pPr>
    <w:rPr>
      <w:rFonts w:ascii="Cambria" w:hAnsi="Cambria" w:cs="Times New Roman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unhideWhenUsed/>
    <w:rsid w:val="00EF65BD"/>
    <w:pPr>
      <w:widowControl/>
      <w:autoSpaceDE/>
      <w:autoSpaceDN/>
      <w:adjustRightInd/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EF65BD"/>
    <w:pPr>
      <w:widowControl/>
      <w:autoSpaceDE/>
      <w:autoSpaceDN/>
      <w:adjustRightInd/>
      <w:spacing w:before="120" w:after="200"/>
    </w:pPr>
    <w:rPr>
      <w:rFonts w:ascii="Courier New" w:hAnsi="Courier New" w:cs="Courier New"/>
      <w:szCs w:val="22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EF65BD"/>
    <w:rPr>
      <w:rFonts w:ascii="Courier New" w:eastAsia="Times New Roman" w:hAnsi="Courier New" w:cs="Courier New"/>
      <w:sz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509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095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095F"/>
    <w:rPr>
      <w:rFonts w:ascii="Arial" w:eastAsia="Times New Roman" w:hAnsi="Arial" w:cs="Arial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09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095F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09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95F"/>
    <w:rPr>
      <w:rFonts w:ascii="Tahoma" w:eastAsia="Times New Roman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59"/>
    <w:rsid w:val="00354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2041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74204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4204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1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783</Words>
  <Characters>4465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Pacioli</Company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Бодров Юрий Викторович</dc:creator>
  <cp:lastModifiedBy>Beketov Aleksandr</cp:lastModifiedBy>
  <cp:revision>7</cp:revision>
  <dcterms:created xsi:type="dcterms:W3CDTF">2022-08-30T14:58:00Z</dcterms:created>
  <dcterms:modified xsi:type="dcterms:W3CDTF">2022-09-14T14:08:00Z</dcterms:modified>
</cp:coreProperties>
</file>